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0" w:type="auto"/>
        <w:tblLook w:val="04A0" w:firstRow="1" w:lastRow="0" w:firstColumn="1" w:lastColumn="0" w:noHBand="0" w:noVBand="1"/>
      </w:tblPr>
      <w:tblGrid>
        <w:gridCol w:w="4247"/>
        <w:gridCol w:w="4247"/>
      </w:tblGrid>
      <w:tr w:rsidR="00070864" w:rsidRPr="000E6E45" w14:paraId="59E1FABC" w14:textId="77777777" w:rsidTr="00070864">
        <w:tc>
          <w:tcPr>
            <w:tcW w:w="4247" w:type="dxa"/>
          </w:tcPr>
          <w:p w14:paraId="380CA71A" w14:textId="77777777" w:rsidR="00070864" w:rsidRPr="000E6E45" w:rsidRDefault="00070864" w:rsidP="00070864">
            <w:pPr>
              <w:jc w:val="both"/>
              <w:rPr>
                <w:rFonts w:cstheme="minorHAnsi"/>
              </w:rPr>
            </w:pPr>
            <w:r w:rsidRPr="000E6E45">
              <w:rPr>
                <w:rFonts w:cstheme="minorHAnsi"/>
              </w:rPr>
              <w:t>A pesar que el documento presenta una buena base geológica y subsana la amenaza sísmica, es necesario fortalecer la descripción de las fallas geológicas, precisando:</w:t>
            </w:r>
          </w:p>
          <w:p w14:paraId="58736078" w14:textId="77777777" w:rsidR="00070864" w:rsidRPr="000E6E45" w:rsidRDefault="00070864" w:rsidP="00070864">
            <w:pPr>
              <w:jc w:val="both"/>
              <w:rPr>
                <w:rFonts w:cstheme="minorHAnsi"/>
              </w:rPr>
            </w:pPr>
          </w:p>
          <w:p w14:paraId="5D48B522" w14:textId="77777777" w:rsidR="00070864" w:rsidRPr="000E6E45" w:rsidRDefault="00070864" w:rsidP="00070864">
            <w:pPr>
              <w:pStyle w:val="Prrafodelista"/>
              <w:numPr>
                <w:ilvl w:val="0"/>
                <w:numId w:val="7"/>
              </w:numPr>
              <w:jc w:val="both"/>
              <w:rPr>
                <w:rFonts w:cstheme="minorHAnsi"/>
              </w:rPr>
            </w:pPr>
            <w:r w:rsidRPr="000E6E45">
              <w:rPr>
                <w:rFonts w:cstheme="minorHAnsi"/>
              </w:rPr>
              <w:t>Su tipo.</w:t>
            </w:r>
          </w:p>
          <w:p w14:paraId="4959B583" w14:textId="77777777" w:rsidR="00070864" w:rsidRPr="000E6E45" w:rsidRDefault="00070864" w:rsidP="00070864">
            <w:pPr>
              <w:pStyle w:val="Prrafodelista"/>
              <w:numPr>
                <w:ilvl w:val="0"/>
                <w:numId w:val="7"/>
              </w:numPr>
              <w:jc w:val="both"/>
              <w:rPr>
                <w:rFonts w:cstheme="minorHAnsi"/>
              </w:rPr>
            </w:pPr>
            <w:r w:rsidRPr="000E6E45">
              <w:rPr>
                <w:rFonts w:cstheme="minorHAnsi"/>
              </w:rPr>
              <w:t xml:space="preserve">Actividad. </w:t>
            </w:r>
          </w:p>
          <w:p w14:paraId="11954C77" w14:textId="77777777" w:rsidR="00070864" w:rsidRPr="000E6E45" w:rsidRDefault="00070864" w:rsidP="00070864">
            <w:pPr>
              <w:pStyle w:val="Prrafodelista"/>
              <w:numPr>
                <w:ilvl w:val="0"/>
                <w:numId w:val="7"/>
              </w:numPr>
              <w:jc w:val="both"/>
              <w:rPr>
                <w:rFonts w:cstheme="minorHAnsi"/>
              </w:rPr>
            </w:pPr>
            <w:r w:rsidRPr="000E6E45">
              <w:rPr>
                <w:rFonts w:cstheme="minorHAnsi"/>
              </w:rPr>
              <w:t xml:space="preserve">Cercanía al proyecto. </w:t>
            </w:r>
          </w:p>
          <w:p w14:paraId="27A33DF5" w14:textId="77777777" w:rsidR="00070864" w:rsidRPr="000E6E45" w:rsidRDefault="00070864" w:rsidP="00070864">
            <w:pPr>
              <w:jc w:val="both"/>
              <w:rPr>
                <w:rFonts w:cstheme="minorHAnsi"/>
              </w:rPr>
            </w:pPr>
          </w:p>
          <w:p w14:paraId="140495D4" w14:textId="3C8CB9D8" w:rsidR="00070864" w:rsidRPr="000E6E45" w:rsidRDefault="00070864" w:rsidP="00070864">
            <w:pPr>
              <w:jc w:val="both"/>
              <w:rPr>
                <w:rFonts w:cstheme="minorHAnsi"/>
              </w:rPr>
            </w:pPr>
            <w:r w:rsidRPr="000E6E45">
              <w:rPr>
                <w:rFonts w:cstheme="minorHAnsi"/>
              </w:rPr>
              <w:t>Así mismo, se debe mejorar la relación de estas con el sistema de gestión del vertimiento y su incidencia en el análisis de riesgo.</w:t>
            </w:r>
          </w:p>
        </w:tc>
        <w:tc>
          <w:tcPr>
            <w:tcW w:w="4247" w:type="dxa"/>
          </w:tcPr>
          <w:p w14:paraId="7619A874" w14:textId="77777777" w:rsidR="00070864" w:rsidRPr="00070864" w:rsidRDefault="00070864" w:rsidP="00070864">
            <w:pPr>
              <w:spacing w:before="100" w:beforeAutospacing="1" w:after="100" w:afterAutospacing="1"/>
              <w:jc w:val="both"/>
              <w:outlineLvl w:val="3"/>
              <w:rPr>
                <w:rFonts w:eastAsia="Times New Roman" w:cstheme="minorHAnsi"/>
                <w:lang w:val="es-419" w:eastAsia="es-419"/>
              </w:rPr>
            </w:pPr>
            <w:r w:rsidRPr="00070864">
              <w:rPr>
                <w:rFonts w:eastAsia="Times New Roman" w:cstheme="minorHAnsi"/>
                <w:lang w:val="es-419" w:eastAsia="es-419"/>
              </w:rPr>
              <w:t>1. Fallas geológicas</w:t>
            </w:r>
          </w:p>
          <w:p w14:paraId="5160598F" w14:textId="77777777" w:rsidR="00070864" w:rsidRPr="00070864" w:rsidRDefault="00070864" w:rsidP="00070864">
            <w:p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En la versión final se incorporó una descripción específica de la Falla del Suárez, Falla Florida–Paramito y Falla de Bucaramanga, indicando:</w:t>
            </w:r>
          </w:p>
          <w:p w14:paraId="7858A0AE" w14:textId="77777777" w:rsidR="00070864" w:rsidRPr="00070864" w:rsidRDefault="00070864" w:rsidP="00070864">
            <w:pPr>
              <w:numPr>
                <w:ilvl w:val="0"/>
                <w:numId w:val="1"/>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Tipo de falla (inversa, inversa-oblicua y de rumbo sinestral). </w:t>
            </w:r>
          </w:p>
          <w:p w14:paraId="7B193C54" w14:textId="77777777" w:rsidR="00070864" w:rsidRPr="00070864" w:rsidRDefault="00070864" w:rsidP="00070864">
            <w:pPr>
              <w:numPr>
                <w:ilvl w:val="0"/>
                <w:numId w:val="1"/>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Nivel de actividad. </w:t>
            </w:r>
          </w:p>
          <w:p w14:paraId="122C4BF1" w14:textId="77777777" w:rsidR="00070864" w:rsidRPr="00070864" w:rsidRDefault="00070864" w:rsidP="00070864">
            <w:pPr>
              <w:numPr>
                <w:ilvl w:val="0"/>
                <w:numId w:val="1"/>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Influencia y cercanía respecto al proyecto. </w:t>
            </w:r>
          </w:p>
          <w:p w14:paraId="486A25E8" w14:textId="77777777" w:rsidR="00070864" w:rsidRPr="00070864" w:rsidRDefault="00070864" w:rsidP="00070864">
            <w:pPr>
              <w:numPr>
                <w:ilvl w:val="0"/>
                <w:numId w:val="1"/>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Implicaciones geotécnicas e hidrogeológicas. </w:t>
            </w:r>
          </w:p>
          <w:p w14:paraId="2B3D0874" w14:textId="77777777" w:rsidR="00070864" w:rsidRPr="00070864" w:rsidRDefault="00070864" w:rsidP="00070864">
            <w:p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Además, se relaciona expresamente cómo estas estructuras pueden influir en el comportamiento hidráulico del subsuelo, el monitoreo hidrogeológico y la evaluación de escenarios de riesgo. </w:t>
            </w:r>
          </w:p>
          <w:p w14:paraId="0EF4A170" w14:textId="77777777" w:rsidR="00070864" w:rsidRPr="000E6E45" w:rsidRDefault="00070864" w:rsidP="00070864">
            <w:pPr>
              <w:jc w:val="both"/>
              <w:rPr>
                <w:rFonts w:cstheme="minorHAnsi"/>
              </w:rPr>
            </w:pPr>
          </w:p>
        </w:tc>
      </w:tr>
      <w:tr w:rsidR="00070864" w:rsidRPr="000E6E45" w14:paraId="3D207DAE" w14:textId="77777777" w:rsidTr="00070864">
        <w:tc>
          <w:tcPr>
            <w:tcW w:w="4247" w:type="dxa"/>
          </w:tcPr>
          <w:p w14:paraId="1ECA0D89" w14:textId="77777777" w:rsidR="00070864" w:rsidRPr="000E6E45" w:rsidRDefault="00070864" w:rsidP="00070864">
            <w:pPr>
              <w:jc w:val="both"/>
              <w:rPr>
                <w:rFonts w:cstheme="minorHAnsi"/>
              </w:rPr>
            </w:pPr>
          </w:p>
          <w:p w14:paraId="48761284" w14:textId="77777777" w:rsidR="00070864" w:rsidRPr="000E6E45" w:rsidRDefault="00070864" w:rsidP="00070864">
            <w:pPr>
              <w:jc w:val="both"/>
              <w:rPr>
                <w:rFonts w:cstheme="minorHAnsi"/>
              </w:rPr>
            </w:pPr>
            <w:r w:rsidRPr="000E6E45">
              <w:rPr>
                <w:rFonts w:cstheme="minorHAnsi"/>
              </w:rPr>
              <w:t>Si bien el documento presenta un buen desarrollo técnico, aún tiene algunas falencias frente a los términos de referencia, ya que no se establece de forma clara la relación entre los procesos identificados (erosión, movimientos en masa) y el sistema de gestión del vertimiento, especialmente en cómo podrían afectar su operación.</w:t>
            </w:r>
          </w:p>
          <w:p w14:paraId="74B1324F" w14:textId="77777777" w:rsidR="00070864" w:rsidRPr="000E6E45" w:rsidRDefault="00070864" w:rsidP="00070864">
            <w:pPr>
              <w:jc w:val="both"/>
              <w:rPr>
                <w:rFonts w:cstheme="minorHAnsi"/>
              </w:rPr>
            </w:pPr>
          </w:p>
          <w:p w14:paraId="4CE3F12B" w14:textId="77777777" w:rsidR="00070864" w:rsidRPr="000E6E45" w:rsidRDefault="00070864" w:rsidP="00070864">
            <w:pPr>
              <w:jc w:val="both"/>
              <w:rPr>
                <w:rFonts w:cstheme="minorHAnsi"/>
              </w:rPr>
            </w:pPr>
            <w:r w:rsidRPr="000E6E45">
              <w:rPr>
                <w:rFonts w:cstheme="minorHAnsi"/>
              </w:rPr>
              <w:t xml:space="preserve">Además, no se aborda de forma específica ni se señalan con claridad las zonas más críticas para la operación. </w:t>
            </w:r>
          </w:p>
          <w:p w14:paraId="5FA7CAD2" w14:textId="77777777" w:rsidR="00070864" w:rsidRPr="000E6E45" w:rsidRDefault="00070864" w:rsidP="00070864">
            <w:pPr>
              <w:jc w:val="both"/>
              <w:rPr>
                <w:rFonts w:cstheme="minorHAnsi"/>
              </w:rPr>
            </w:pPr>
          </w:p>
          <w:p w14:paraId="4D5CEF37" w14:textId="431CD014" w:rsidR="00070864" w:rsidRPr="000E6E45" w:rsidRDefault="00070864" w:rsidP="00070864">
            <w:pPr>
              <w:jc w:val="both"/>
              <w:rPr>
                <w:rFonts w:cstheme="minorHAnsi"/>
              </w:rPr>
            </w:pPr>
            <w:r w:rsidRPr="000E6E45">
              <w:rPr>
                <w:rFonts w:cstheme="minorHAnsi"/>
              </w:rPr>
              <w:t>Por esto, sería importante complementar estos aspectos para que el análisis quede más completo y enfocado.</w:t>
            </w:r>
          </w:p>
        </w:tc>
        <w:tc>
          <w:tcPr>
            <w:tcW w:w="4247" w:type="dxa"/>
          </w:tcPr>
          <w:p w14:paraId="247F04AB" w14:textId="77777777" w:rsidR="00070864" w:rsidRPr="00070864" w:rsidRDefault="00070864" w:rsidP="00070864">
            <w:pPr>
              <w:spacing w:before="100" w:beforeAutospacing="1" w:after="100" w:afterAutospacing="1"/>
              <w:jc w:val="both"/>
              <w:outlineLvl w:val="3"/>
              <w:rPr>
                <w:rFonts w:eastAsia="Times New Roman" w:cstheme="minorHAnsi"/>
                <w:lang w:val="es-419" w:eastAsia="es-419"/>
              </w:rPr>
            </w:pPr>
            <w:r w:rsidRPr="00070864">
              <w:rPr>
                <w:rFonts w:eastAsia="Times New Roman" w:cstheme="minorHAnsi"/>
                <w:lang w:val="es-419" w:eastAsia="es-419"/>
              </w:rPr>
              <w:t>Relación entre erosión, movimientos en masa y operación del sistema</w:t>
            </w:r>
          </w:p>
          <w:p w14:paraId="37E2E0C6" w14:textId="77777777" w:rsidR="00070864" w:rsidRPr="00070864" w:rsidRDefault="00070864" w:rsidP="00070864">
            <w:p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En la entrega final se fortaleció este aspecto.</w:t>
            </w:r>
          </w:p>
          <w:p w14:paraId="15D5DECE" w14:textId="77777777" w:rsidR="00070864" w:rsidRPr="00070864" w:rsidRDefault="00070864" w:rsidP="00070864">
            <w:p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Se indica que las áreas susceptibles a remoción en masa y erosión fueron consideradas dentro del análisis de influencia debido a que podrían comprometer la operación del sistema de gestión del vertimiento. </w:t>
            </w:r>
          </w:p>
          <w:p w14:paraId="48D13444" w14:textId="77777777" w:rsidR="00070864" w:rsidRPr="00070864" w:rsidRDefault="00070864" w:rsidP="00070864">
            <w:p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Igualmente, se concluye que los movimientos en masa podrían afectar:</w:t>
            </w:r>
          </w:p>
          <w:p w14:paraId="1CCEEDB8" w14:textId="77777777" w:rsidR="00070864" w:rsidRPr="00070864" w:rsidRDefault="00070864" w:rsidP="00070864">
            <w:pPr>
              <w:numPr>
                <w:ilvl w:val="0"/>
                <w:numId w:val="2"/>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Canales de drenaje. </w:t>
            </w:r>
          </w:p>
          <w:p w14:paraId="49827D97" w14:textId="77777777" w:rsidR="00070864" w:rsidRPr="00070864" w:rsidRDefault="00070864" w:rsidP="00070864">
            <w:pPr>
              <w:numPr>
                <w:ilvl w:val="0"/>
                <w:numId w:val="2"/>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Accesos operativos. </w:t>
            </w:r>
          </w:p>
          <w:p w14:paraId="2E18EA37" w14:textId="77777777" w:rsidR="00070864" w:rsidRPr="00070864" w:rsidRDefault="00070864" w:rsidP="00070864">
            <w:pPr>
              <w:numPr>
                <w:ilvl w:val="0"/>
                <w:numId w:val="2"/>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Sistemas de conducción de lixiviados.</w:t>
            </w:r>
          </w:p>
          <w:p w14:paraId="0151E08F" w14:textId="77777777" w:rsidR="00070864" w:rsidRPr="000E6E45" w:rsidRDefault="00070864" w:rsidP="00070864">
            <w:pPr>
              <w:jc w:val="both"/>
              <w:rPr>
                <w:rFonts w:cstheme="minorHAnsi"/>
              </w:rPr>
            </w:pPr>
          </w:p>
        </w:tc>
      </w:tr>
      <w:tr w:rsidR="00070864" w:rsidRPr="000E6E45" w14:paraId="12940CCF" w14:textId="77777777" w:rsidTr="00070864">
        <w:tc>
          <w:tcPr>
            <w:tcW w:w="4247" w:type="dxa"/>
          </w:tcPr>
          <w:p w14:paraId="30A2D2F9" w14:textId="77777777" w:rsidR="00070864" w:rsidRPr="000E6E45" w:rsidRDefault="00070864" w:rsidP="00070864">
            <w:pPr>
              <w:jc w:val="both"/>
              <w:rPr>
                <w:rFonts w:cstheme="minorHAnsi"/>
              </w:rPr>
            </w:pPr>
            <w:r w:rsidRPr="000E6E45">
              <w:rPr>
                <w:rFonts w:cstheme="minorHAnsi"/>
              </w:rPr>
              <w:t>Aunque el documento tiene una buena base, la información se queda un poco corta para lo que realmente se está solicitando.</w:t>
            </w:r>
          </w:p>
          <w:p w14:paraId="718467A1" w14:textId="77777777" w:rsidR="00070864" w:rsidRPr="000E6E45" w:rsidRDefault="00070864" w:rsidP="00070864">
            <w:pPr>
              <w:jc w:val="both"/>
              <w:rPr>
                <w:rFonts w:cstheme="minorHAnsi"/>
              </w:rPr>
            </w:pPr>
          </w:p>
          <w:p w14:paraId="7F888F22" w14:textId="77777777" w:rsidR="00070864" w:rsidRPr="000E6E45" w:rsidRDefault="00070864" w:rsidP="00070864">
            <w:pPr>
              <w:jc w:val="both"/>
              <w:rPr>
                <w:rFonts w:cstheme="minorHAnsi"/>
              </w:rPr>
            </w:pPr>
            <w:r w:rsidRPr="000E6E45">
              <w:rPr>
                <w:rFonts w:cstheme="minorHAnsi"/>
              </w:rPr>
              <w:t xml:space="preserve">No está del todo enfocada en las zonas donde se ubica la planta de tratamiento y las demás estructuras, tampoco se ven estudios geotécnicos detallados que permitan entender bien la capacidad del suelo, los </w:t>
            </w:r>
            <w:r w:rsidRPr="000E6E45">
              <w:rPr>
                <w:rFonts w:cstheme="minorHAnsi"/>
              </w:rPr>
              <w:lastRenderedPageBreak/>
              <w:t>posibles asentamientos o cómo podría comportarse ante un sismo.</w:t>
            </w:r>
          </w:p>
          <w:p w14:paraId="34E81119" w14:textId="77777777" w:rsidR="00070864" w:rsidRPr="000E6E45" w:rsidRDefault="00070864" w:rsidP="00070864">
            <w:pPr>
              <w:jc w:val="both"/>
              <w:rPr>
                <w:rFonts w:cstheme="minorHAnsi"/>
              </w:rPr>
            </w:pPr>
          </w:p>
          <w:p w14:paraId="22824ABD" w14:textId="45E4CEC3" w:rsidR="00070864" w:rsidRPr="000E6E45" w:rsidRDefault="00070864" w:rsidP="00070864">
            <w:pPr>
              <w:jc w:val="both"/>
              <w:rPr>
                <w:rFonts w:cstheme="minorHAnsi"/>
              </w:rPr>
            </w:pPr>
            <w:r w:rsidRPr="000E6E45">
              <w:rPr>
                <w:rFonts w:cstheme="minorHAnsi"/>
              </w:rPr>
              <w:t>Además, no se explica con claridad cómo todo esto podría afectar la operación del sistema, por lo que sería importante complementar el análisis para que esté más aterrizado a la realidad del proyecto.</w:t>
            </w:r>
          </w:p>
        </w:tc>
        <w:tc>
          <w:tcPr>
            <w:tcW w:w="4247" w:type="dxa"/>
          </w:tcPr>
          <w:p w14:paraId="00744585" w14:textId="77777777" w:rsidR="00070864" w:rsidRPr="00070864" w:rsidRDefault="00070864" w:rsidP="00070864">
            <w:pPr>
              <w:spacing w:before="100" w:beforeAutospacing="1" w:after="100" w:afterAutospacing="1"/>
              <w:jc w:val="both"/>
              <w:outlineLvl w:val="3"/>
              <w:rPr>
                <w:rFonts w:eastAsia="Times New Roman" w:cstheme="minorHAnsi"/>
                <w:lang w:val="es-419" w:eastAsia="es-419"/>
              </w:rPr>
            </w:pPr>
            <w:r w:rsidRPr="00070864">
              <w:rPr>
                <w:rFonts w:eastAsia="Times New Roman" w:cstheme="minorHAnsi"/>
                <w:lang w:val="es-419" w:eastAsia="es-419"/>
              </w:rPr>
              <w:lastRenderedPageBreak/>
              <w:t>Zonas críticas para la operación</w:t>
            </w:r>
          </w:p>
          <w:p w14:paraId="079BA443" w14:textId="77777777" w:rsidR="00070864" w:rsidRPr="00070864" w:rsidRDefault="00070864" w:rsidP="00070864">
            <w:p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La versión final ya identifica sectores de amenaza alta:</w:t>
            </w:r>
          </w:p>
          <w:p w14:paraId="78F94081" w14:textId="77777777" w:rsidR="00070864" w:rsidRPr="00070864" w:rsidRDefault="00070864" w:rsidP="00070864">
            <w:pPr>
              <w:numPr>
                <w:ilvl w:val="0"/>
                <w:numId w:val="3"/>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Sector suroccidental. </w:t>
            </w:r>
          </w:p>
          <w:p w14:paraId="0D2C99FA" w14:textId="77777777" w:rsidR="00070864" w:rsidRPr="00070864" w:rsidRDefault="00070864" w:rsidP="00070864">
            <w:pPr>
              <w:numPr>
                <w:ilvl w:val="0"/>
                <w:numId w:val="3"/>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Sector occidental. </w:t>
            </w:r>
          </w:p>
          <w:p w14:paraId="031BC67E" w14:textId="77777777" w:rsidR="00070864" w:rsidRPr="00070864" w:rsidRDefault="00070864" w:rsidP="00070864">
            <w:pPr>
              <w:numPr>
                <w:ilvl w:val="0"/>
                <w:numId w:val="3"/>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Sectores intermedios con menor estabilidad. </w:t>
            </w:r>
          </w:p>
          <w:p w14:paraId="5B9A8BDD" w14:textId="77777777" w:rsidR="00070864" w:rsidRPr="00070864" w:rsidRDefault="00070864" w:rsidP="00070864">
            <w:pPr>
              <w:numPr>
                <w:ilvl w:val="0"/>
                <w:numId w:val="3"/>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lastRenderedPageBreak/>
              <w:t xml:space="preserve">Sectores nororientales con mejores condiciones geotécnicas. </w:t>
            </w:r>
          </w:p>
          <w:p w14:paraId="52F4910D" w14:textId="77777777" w:rsidR="00070864" w:rsidRPr="00070864" w:rsidRDefault="00070864" w:rsidP="00070864">
            <w:p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Sin embargo, aunque se delimitan zonas críticas desde la amenaza geotécnica, no siempre queda totalmente explícita la correspondencia espacial entre dichas zonas y cada una de las estructuras operativas de la PTLX.</w:t>
            </w:r>
          </w:p>
          <w:p w14:paraId="7118875E" w14:textId="77777777" w:rsidR="00070864" w:rsidRPr="00070864" w:rsidRDefault="00070864" w:rsidP="00070864">
            <w:pPr>
              <w:spacing w:before="100" w:beforeAutospacing="1" w:after="100" w:afterAutospacing="1"/>
              <w:jc w:val="both"/>
              <w:outlineLvl w:val="3"/>
              <w:rPr>
                <w:rFonts w:eastAsia="Times New Roman" w:cstheme="minorHAnsi"/>
                <w:lang w:val="es-419" w:eastAsia="es-419"/>
              </w:rPr>
            </w:pPr>
            <w:r w:rsidRPr="00070864">
              <w:rPr>
                <w:rFonts w:eastAsia="Times New Roman" w:cstheme="minorHAnsi"/>
                <w:lang w:val="es-419" w:eastAsia="es-419"/>
              </w:rPr>
              <w:t>Estudios geotécnicos específicos para la PTLX</w:t>
            </w:r>
          </w:p>
          <w:p w14:paraId="550E1C7B" w14:textId="77777777" w:rsidR="00070864" w:rsidRPr="00070864" w:rsidRDefault="00070864" w:rsidP="00070864">
            <w:p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Este fue uno de los aspectos más fortalecidos.</w:t>
            </w:r>
          </w:p>
          <w:p w14:paraId="196773ED" w14:textId="77777777" w:rsidR="00070864" w:rsidRPr="00070864" w:rsidRDefault="00070864" w:rsidP="00070864">
            <w:p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La versión final incorpora un apartado específico denominado:</w:t>
            </w:r>
          </w:p>
          <w:p w14:paraId="30D70B63" w14:textId="77777777" w:rsidR="00070864" w:rsidRPr="00070864" w:rsidRDefault="00070864" w:rsidP="00070864">
            <w:p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“Evaluación Geotécnica y Operacional del Proyecto de la PTLX”, donde se presentan:</w:t>
            </w:r>
          </w:p>
          <w:p w14:paraId="44DCA8F6" w14:textId="77777777" w:rsidR="00070864" w:rsidRPr="00070864" w:rsidRDefault="00070864" w:rsidP="00070864">
            <w:pPr>
              <w:numPr>
                <w:ilvl w:val="0"/>
                <w:numId w:val="4"/>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Sondeos SPT. </w:t>
            </w:r>
          </w:p>
          <w:p w14:paraId="604AB098" w14:textId="77777777" w:rsidR="00070864" w:rsidRPr="00070864" w:rsidRDefault="00070864" w:rsidP="00070864">
            <w:pPr>
              <w:numPr>
                <w:ilvl w:val="0"/>
                <w:numId w:val="4"/>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Ensayos geotécnicos. </w:t>
            </w:r>
          </w:p>
          <w:p w14:paraId="2C659F25" w14:textId="77777777" w:rsidR="00070864" w:rsidRPr="00070864" w:rsidRDefault="00070864" w:rsidP="00070864">
            <w:pPr>
              <w:numPr>
                <w:ilvl w:val="0"/>
                <w:numId w:val="4"/>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Capacidad portante. </w:t>
            </w:r>
          </w:p>
          <w:p w14:paraId="519725CF" w14:textId="77777777" w:rsidR="00070864" w:rsidRPr="00070864" w:rsidRDefault="00070864" w:rsidP="00070864">
            <w:pPr>
              <w:numPr>
                <w:ilvl w:val="0"/>
                <w:numId w:val="4"/>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Condiciones del suelo. </w:t>
            </w:r>
          </w:p>
          <w:p w14:paraId="2E924819" w14:textId="77777777" w:rsidR="00070864" w:rsidRPr="00070864" w:rsidRDefault="00070864" w:rsidP="00070864">
            <w:pPr>
              <w:numPr>
                <w:ilvl w:val="0"/>
                <w:numId w:val="4"/>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Evaluación de asentamientos. </w:t>
            </w:r>
          </w:p>
          <w:p w14:paraId="3CE4AF04" w14:textId="77777777" w:rsidR="00070864" w:rsidRPr="00070864" w:rsidRDefault="00070864" w:rsidP="00070864">
            <w:pPr>
              <w:numPr>
                <w:ilvl w:val="0"/>
                <w:numId w:val="4"/>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Ausencia de nivel freático. </w:t>
            </w:r>
          </w:p>
          <w:p w14:paraId="2C1AEE51" w14:textId="77777777" w:rsidR="00070864" w:rsidRPr="00070864" w:rsidRDefault="00070864" w:rsidP="00070864">
            <w:pPr>
              <w:numPr>
                <w:ilvl w:val="0"/>
                <w:numId w:val="4"/>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Comportamiento sísmico. </w:t>
            </w:r>
          </w:p>
          <w:p w14:paraId="3BAAC427" w14:textId="77777777" w:rsidR="00070864" w:rsidRPr="00070864" w:rsidRDefault="00070864" w:rsidP="00070864">
            <w:pPr>
              <w:spacing w:before="100" w:beforeAutospacing="1" w:after="100" w:afterAutospacing="1"/>
              <w:jc w:val="both"/>
              <w:outlineLvl w:val="3"/>
              <w:rPr>
                <w:rFonts w:eastAsia="Times New Roman" w:cstheme="minorHAnsi"/>
                <w:lang w:val="es-419" w:eastAsia="es-419"/>
              </w:rPr>
            </w:pPr>
            <w:r w:rsidRPr="00070864">
              <w:rPr>
                <w:rFonts w:eastAsia="Times New Roman" w:cstheme="minorHAnsi"/>
                <w:lang w:val="es-419" w:eastAsia="es-419"/>
              </w:rPr>
              <w:t>Relación de la geotecnia con la operación del sistema</w:t>
            </w:r>
          </w:p>
          <w:p w14:paraId="2133EDCD" w14:textId="77777777" w:rsidR="00070864" w:rsidRPr="00070864" w:rsidRDefault="00070864" w:rsidP="00070864">
            <w:p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La entrega final incluye un apartado específico de implicaciones operacionales donde analiza:</w:t>
            </w:r>
          </w:p>
          <w:p w14:paraId="60369EF2" w14:textId="77777777" w:rsidR="00070864" w:rsidRPr="00070864" w:rsidRDefault="00070864" w:rsidP="00070864">
            <w:pPr>
              <w:numPr>
                <w:ilvl w:val="0"/>
                <w:numId w:val="5"/>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Posibles deformaciones del terreno. </w:t>
            </w:r>
          </w:p>
          <w:p w14:paraId="2A7CA313" w14:textId="77777777" w:rsidR="00070864" w:rsidRPr="00070864" w:rsidRDefault="00070864" w:rsidP="00070864">
            <w:pPr>
              <w:numPr>
                <w:ilvl w:val="0"/>
                <w:numId w:val="5"/>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Afectación de estructuras hidráulicas. </w:t>
            </w:r>
          </w:p>
          <w:p w14:paraId="0A88DEBB" w14:textId="77777777" w:rsidR="00070864" w:rsidRPr="00070864" w:rsidRDefault="00070864" w:rsidP="00070864">
            <w:pPr>
              <w:numPr>
                <w:ilvl w:val="0"/>
                <w:numId w:val="5"/>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Fisuración. </w:t>
            </w:r>
          </w:p>
          <w:p w14:paraId="3FD562B5" w14:textId="77777777" w:rsidR="00070864" w:rsidRPr="00070864" w:rsidRDefault="00070864" w:rsidP="00070864">
            <w:pPr>
              <w:numPr>
                <w:ilvl w:val="0"/>
                <w:numId w:val="5"/>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Alteración de pendientes hidráulicas. </w:t>
            </w:r>
          </w:p>
          <w:p w14:paraId="78388B1F" w14:textId="77777777" w:rsidR="00070864" w:rsidRPr="00070864" w:rsidRDefault="00070864" w:rsidP="00070864">
            <w:p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Finalmente concluye que actualmente no existen evidencias de asentamientos diferenciales ni afectaciones que comprometan la operación del sistema.</w:t>
            </w:r>
          </w:p>
          <w:p w14:paraId="7B7A0162" w14:textId="77777777" w:rsidR="00070864" w:rsidRPr="000E6E45" w:rsidRDefault="00070864" w:rsidP="00070864">
            <w:pPr>
              <w:jc w:val="both"/>
              <w:rPr>
                <w:rFonts w:cstheme="minorHAnsi"/>
              </w:rPr>
            </w:pPr>
          </w:p>
        </w:tc>
      </w:tr>
      <w:tr w:rsidR="00070864" w:rsidRPr="000E6E45" w14:paraId="0122D585" w14:textId="77777777" w:rsidTr="00070864">
        <w:tc>
          <w:tcPr>
            <w:tcW w:w="4247" w:type="dxa"/>
          </w:tcPr>
          <w:p w14:paraId="5351C157" w14:textId="77777777" w:rsidR="00070864" w:rsidRPr="000E6E45" w:rsidRDefault="00070864" w:rsidP="00070864">
            <w:pPr>
              <w:jc w:val="both"/>
              <w:rPr>
                <w:rFonts w:cstheme="minorHAnsi"/>
              </w:rPr>
            </w:pPr>
            <w:r w:rsidRPr="000E6E45">
              <w:rPr>
                <w:rFonts w:cstheme="minorHAnsi"/>
              </w:rPr>
              <w:lastRenderedPageBreak/>
              <w:t xml:space="preserve">Cumple en su totalidad. </w:t>
            </w:r>
          </w:p>
          <w:p w14:paraId="0272FEBA" w14:textId="77777777" w:rsidR="00070864" w:rsidRPr="000E6E45" w:rsidRDefault="00070864" w:rsidP="00070864">
            <w:pPr>
              <w:jc w:val="both"/>
              <w:rPr>
                <w:rFonts w:cstheme="minorHAnsi"/>
              </w:rPr>
            </w:pPr>
          </w:p>
          <w:p w14:paraId="54BC0C95" w14:textId="10A2CA10" w:rsidR="00070864" w:rsidRPr="000E6E45" w:rsidRDefault="00070864" w:rsidP="00070864">
            <w:pPr>
              <w:jc w:val="both"/>
              <w:rPr>
                <w:rFonts w:cstheme="minorHAnsi"/>
              </w:rPr>
            </w:pPr>
            <w:r w:rsidRPr="000E6E45">
              <w:rPr>
                <w:rFonts w:cstheme="minorHAnsi"/>
              </w:rPr>
              <w:t xml:space="preserve">Como recomendación, sería útil complementar el documento con una breve </w:t>
            </w:r>
            <w:r w:rsidRPr="000E6E45">
              <w:rPr>
                <w:rFonts w:cstheme="minorHAnsi"/>
              </w:rPr>
              <w:lastRenderedPageBreak/>
              <w:t>interpretación de los resultados, especialmente en lo relacionado con la infiltración y la permeabilidad, de manera que se entienda mejor cómo se comporta el suelo frente a posibles procesos de contaminación o movilidad de lixiviados.</w:t>
            </w:r>
          </w:p>
        </w:tc>
        <w:tc>
          <w:tcPr>
            <w:tcW w:w="4247" w:type="dxa"/>
          </w:tcPr>
          <w:p w14:paraId="5386DB79" w14:textId="77777777" w:rsidR="00070864" w:rsidRPr="00070864" w:rsidRDefault="00070864" w:rsidP="00070864">
            <w:pPr>
              <w:spacing w:before="100" w:beforeAutospacing="1" w:after="100" w:afterAutospacing="1"/>
              <w:jc w:val="both"/>
              <w:outlineLvl w:val="3"/>
              <w:rPr>
                <w:rFonts w:eastAsia="Times New Roman" w:cstheme="minorHAnsi"/>
                <w:lang w:val="es-419" w:eastAsia="es-419"/>
              </w:rPr>
            </w:pPr>
            <w:r w:rsidRPr="00070864">
              <w:rPr>
                <w:rFonts w:eastAsia="Times New Roman" w:cstheme="minorHAnsi"/>
                <w:lang w:val="es-419" w:eastAsia="es-419"/>
              </w:rPr>
              <w:lastRenderedPageBreak/>
              <w:t>Interpretación de infiltración y permeabilidad</w:t>
            </w:r>
          </w:p>
          <w:p w14:paraId="779E97AE" w14:textId="77777777" w:rsidR="00070864" w:rsidRPr="00070864" w:rsidRDefault="00070864" w:rsidP="00070864">
            <w:p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lastRenderedPageBreak/>
              <w:t>Este fue un requerimiento formulado como recomendación.</w:t>
            </w:r>
          </w:p>
          <w:p w14:paraId="1A2DEF8A" w14:textId="77777777" w:rsidR="00070864" w:rsidRPr="00070864" w:rsidRDefault="00070864" w:rsidP="00070864">
            <w:p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Aunque la versión final incorpora resultados fisicoquímicos del suelo, textura, porosidad, capacidad de campo y otras propiedades, no se evidencia una interpretación técnica suficientemente desarrollada sobre:</w:t>
            </w:r>
          </w:p>
          <w:p w14:paraId="6F4B4863" w14:textId="77777777" w:rsidR="00070864" w:rsidRPr="00070864" w:rsidRDefault="00070864" w:rsidP="00070864">
            <w:pPr>
              <w:numPr>
                <w:ilvl w:val="0"/>
                <w:numId w:val="6"/>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Permeabilidad. </w:t>
            </w:r>
          </w:p>
          <w:p w14:paraId="3624F434" w14:textId="77777777" w:rsidR="00070864" w:rsidRPr="00070864" w:rsidRDefault="00070864" w:rsidP="00070864">
            <w:pPr>
              <w:numPr>
                <w:ilvl w:val="0"/>
                <w:numId w:val="6"/>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Infiltración. </w:t>
            </w:r>
          </w:p>
          <w:p w14:paraId="42B93AA5" w14:textId="77777777" w:rsidR="00070864" w:rsidRPr="00070864" w:rsidRDefault="00070864" w:rsidP="00070864">
            <w:pPr>
              <w:numPr>
                <w:ilvl w:val="0"/>
                <w:numId w:val="6"/>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Movilidad potencial de contaminantes. </w:t>
            </w:r>
          </w:p>
          <w:p w14:paraId="570B97EB" w14:textId="77777777" w:rsidR="00070864" w:rsidRPr="00070864" w:rsidRDefault="00070864" w:rsidP="00070864">
            <w:pPr>
              <w:numPr>
                <w:ilvl w:val="0"/>
                <w:numId w:val="6"/>
              </w:num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 xml:space="preserve">Comportamiento frente a lixiviados. </w:t>
            </w:r>
          </w:p>
          <w:p w14:paraId="72CFF340" w14:textId="77777777" w:rsidR="00070864" w:rsidRPr="00070864" w:rsidRDefault="00070864" w:rsidP="00070864">
            <w:p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Se presentan los datos, pero no una discusión técnica robusta de sus implicaciones.</w:t>
            </w:r>
          </w:p>
          <w:p w14:paraId="2EB3D922" w14:textId="77777777" w:rsidR="00070864" w:rsidRPr="00070864" w:rsidRDefault="00070864" w:rsidP="00070864">
            <w:p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Conclusión: No cumple completamente (o cumple parcialmente si se considera una recomendación y no un requerimiento obligatorio).</w:t>
            </w:r>
          </w:p>
          <w:p w14:paraId="4D3B907C" w14:textId="77777777" w:rsidR="00070864" w:rsidRPr="000E6E45" w:rsidRDefault="00070864" w:rsidP="00070864">
            <w:pPr>
              <w:jc w:val="both"/>
              <w:rPr>
                <w:rFonts w:cstheme="minorHAnsi"/>
              </w:rPr>
            </w:pPr>
          </w:p>
        </w:tc>
      </w:tr>
      <w:tr w:rsidR="00070864" w:rsidRPr="000E6E45" w14:paraId="0C417203" w14:textId="77777777" w:rsidTr="00070864">
        <w:tc>
          <w:tcPr>
            <w:tcW w:w="4247" w:type="dxa"/>
          </w:tcPr>
          <w:p w14:paraId="0EA9A586" w14:textId="6AE8EBC4" w:rsidR="00070864" w:rsidRDefault="00070864" w:rsidP="00070864">
            <w:pPr>
              <w:jc w:val="both"/>
              <w:rPr>
                <w:rFonts w:cstheme="minorHAnsi"/>
              </w:rPr>
            </w:pPr>
            <w:r w:rsidRPr="000E6E45">
              <w:rPr>
                <w:rFonts w:cstheme="minorHAnsi"/>
              </w:rPr>
              <w:lastRenderedPageBreak/>
              <w:t>viii. En el ítem Hidrogeología se requiere:</w:t>
            </w:r>
          </w:p>
          <w:p w14:paraId="04A9A0F6" w14:textId="77777777" w:rsidR="000E6E45" w:rsidRPr="000E6E45" w:rsidRDefault="000E6E45" w:rsidP="00070864">
            <w:pPr>
              <w:jc w:val="both"/>
              <w:rPr>
                <w:rFonts w:cstheme="minorHAnsi"/>
              </w:rPr>
            </w:pPr>
          </w:p>
          <w:p w14:paraId="2FCECF4B" w14:textId="52BE55A8" w:rsidR="00070864" w:rsidRPr="000E6E45" w:rsidRDefault="00070864" w:rsidP="00070864">
            <w:pPr>
              <w:jc w:val="both"/>
              <w:rPr>
                <w:rFonts w:cstheme="minorHAnsi"/>
              </w:rPr>
            </w:pPr>
            <w:r w:rsidRPr="000E6E45">
              <w:rPr>
                <w:rFonts w:cstheme="minorHAnsi"/>
              </w:rPr>
              <w:t>I. Realizar el inventario de pozos profundos, aljibes y</w:t>
            </w:r>
            <w:r w:rsidR="000E6E45">
              <w:rPr>
                <w:rFonts w:cstheme="minorHAnsi"/>
              </w:rPr>
              <w:t xml:space="preserve"> </w:t>
            </w:r>
            <w:r w:rsidRPr="000E6E45">
              <w:rPr>
                <w:rFonts w:cstheme="minorHAnsi"/>
              </w:rPr>
              <w:t>manantiales en el área de influencia del proyecto.</w:t>
            </w:r>
          </w:p>
          <w:p w14:paraId="18D7F193" w14:textId="7CFF5265" w:rsidR="00070864" w:rsidRDefault="00070864" w:rsidP="00070864">
            <w:pPr>
              <w:jc w:val="both"/>
              <w:rPr>
                <w:rFonts w:cstheme="minorHAnsi"/>
              </w:rPr>
            </w:pPr>
            <w:r w:rsidRPr="000E6E45">
              <w:rPr>
                <w:rFonts w:cstheme="minorHAnsi"/>
              </w:rPr>
              <w:t>II. La información del inventario se debe presentar en mapas</w:t>
            </w:r>
            <w:r w:rsidR="000E6E45">
              <w:rPr>
                <w:rFonts w:cstheme="minorHAnsi"/>
              </w:rPr>
              <w:t xml:space="preserve"> </w:t>
            </w:r>
            <w:r w:rsidRPr="000E6E45">
              <w:rPr>
                <w:rFonts w:cstheme="minorHAnsi"/>
              </w:rPr>
              <w:t>temáticos, en una escala</w:t>
            </w:r>
            <w:r w:rsidR="000E6E45">
              <w:rPr>
                <w:rFonts w:cstheme="minorHAnsi"/>
              </w:rPr>
              <w:t xml:space="preserve"> </w:t>
            </w:r>
            <w:r w:rsidRPr="000E6E45">
              <w:rPr>
                <w:rFonts w:cstheme="minorHAnsi"/>
              </w:rPr>
              <w:t>representativa a la magnitud del</w:t>
            </w:r>
            <w:r w:rsidR="000E6E45">
              <w:rPr>
                <w:rFonts w:cstheme="minorHAnsi"/>
              </w:rPr>
              <w:t xml:space="preserve"> </w:t>
            </w:r>
            <w:r w:rsidRPr="000E6E45">
              <w:rPr>
                <w:rFonts w:cstheme="minorHAnsi"/>
              </w:rPr>
              <w:t>proyecto y a la cantidad y calidad de la información.</w:t>
            </w:r>
          </w:p>
          <w:p w14:paraId="6A08D4C4" w14:textId="77777777" w:rsidR="000E6E45" w:rsidRPr="000E6E45" w:rsidRDefault="000E6E45" w:rsidP="00070864">
            <w:pPr>
              <w:jc w:val="both"/>
              <w:rPr>
                <w:rFonts w:cstheme="minorHAnsi"/>
              </w:rPr>
            </w:pPr>
          </w:p>
          <w:p w14:paraId="5A1D00B1" w14:textId="77777777" w:rsidR="005B1D35" w:rsidRDefault="00070864" w:rsidP="000E6E45">
            <w:pPr>
              <w:jc w:val="both"/>
              <w:rPr>
                <w:rFonts w:cstheme="minorHAnsi"/>
              </w:rPr>
            </w:pPr>
            <w:r w:rsidRPr="000E6E45">
              <w:rPr>
                <w:rFonts w:cstheme="minorHAnsi"/>
              </w:rPr>
              <w:t>No se evidencia un inventario de pozos profundos, aljibes y</w:t>
            </w:r>
            <w:r w:rsidR="000E6E45">
              <w:rPr>
                <w:rFonts w:cstheme="minorHAnsi"/>
              </w:rPr>
              <w:t xml:space="preserve"> </w:t>
            </w:r>
            <w:r w:rsidRPr="000E6E45">
              <w:rPr>
                <w:rFonts w:cstheme="minorHAnsi"/>
              </w:rPr>
              <w:t xml:space="preserve">manantiales en el área de influencia del proyecto. </w:t>
            </w:r>
          </w:p>
          <w:p w14:paraId="7AE0BCA6" w14:textId="77777777" w:rsidR="005B1D35" w:rsidRDefault="005B1D35" w:rsidP="000E6E45">
            <w:pPr>
              <w:jc w:val="both"/>
              <w:rPr>
                <w:rFonts w:cstheme="minorHAnsi"/>
              </w:rPr>
            </w:pPr>
          </w:p>
          <w:p w14:paraId="2856720C" w14:textId="25B0635D" w:rsidR="000E6E45" w:rsidRPr="000E6E45" w:rsidRDefault="00070864" w:rsidP="000E6E45">
            <w:pPr>
              <w:jc w:val="both"/>
              <w:rPr>
                <w:rFonts w:cstheme="minorHAnsi"/>
              </w:rPr>
            </w:pPr>
            <w:r w:rsidRPr="000E6E45">
              <w:rPr>
                <w:rFonts w:cstheme="minorHAnsi"/>
              </w:rPr>
              <w:t>Teniendo</w:t>
            </w:r>
            <w:r w:rsidR="000E6E45">
              <w:rPr>
                <w:rFonts w:cstheme="minorHAnsi"/>
              </w:rPr>
              <w:t xml:space="preserve"> </w:t>
            </w:r>
            <w:r w:rsidRPr="000E6E45">
              <w:rPr>
                <w:rFonts w:cstheme="minorHAnsi"/>
              </w:rPr>
              <w:t>en cuenta que la Resolución 1514 de 2012</w:t>
            </w:r>
            <w:r w:rsidR="000E6E45">
              <w:rPr>
                <w:rFonts w:cstheme="minorHAnsi"/>
              </w:rPr>
              <w:t xml:space="preserve"> </w:t>
            </w:r>
            <w:r w:rsidRPr="000E6E45">
              <w:rPr>
                <w:rFonts w:cstheme="minorHAnsi"/>
              </w:rPr>
              <w:t>Si bien la CDMB indicó que no se contaba con estos puntos</w:t>
            </w:r>
            <w:r w:rsidR="000E6E45">
              <w:rPr>
                <w:rFonts w:cstheme="minorHAnsi"/>
              </w:rPr>
              <w:t xml:space="preserve"> </w:t>
            </w:r>
            <w:r w:rsidRPr="000E6E45">
              <w:rPr>
                <w:rFonts w:cstheme="minorHAnsi"/>
              </w:rPr>
              <w:t>identificados, e considera necesario que la EMAB S.A.</w:t>
            </w:r>
            <w:r w:rsidR="000E6E45">
              <w:rPr>
                <w:rFonts w:cstheme="minorHAnsi"/>
              </w:rPr>
              <w:t xml:space="preserve"> </w:t>
            </w:r>
            <w:r w:rsidRPr="000E6E45">
              <w:rPr>
                <w:rFonts w:cstheme="minorHAnsi"/>
              </w:rPr>
              <w:t>E.S.P. precise si, en el marco de sus estudios internos o de</w:t>
            </w:r>
            <w:r w:rsidR="005B1D35">
              <w:rPr>
                <w:rFonts w:cstheme="minorHAnsi"/>
              </w:rPr>
              <w:t xml:space="preserve"> </w:t>
            </w:r>
            <w:r w:rsidRPr="000E6E45">
              <w:rPr>
                <w:rFonts w:cstheme="minorHAnsi"/>
              </w:rPr>
              <w:t>operación del proyecto, dispone de infraestructura de</w:t>
            </w:r>
            <w:r w:rsidR="005B1D35">
              <w:rPr>
                <w:rFonts w:cstheme="minorHAnsi"/>
              </w:rPr>
              <w:t xml:space="preserve"> </w:t>
            </w:r>
            <w:r w:rsidRPr="000E6E45">
              <w:rPr>
                <w:rFonts w:cstheme="minorHAnsi"/>
              </w:rPr>
              <w:t>monitoreo</w:t>
            </w:r>
            <w:r w:rsidR="005B1D35">
              <w:rPr>
                <w:rFonts w:cstheme="minorHAnsi"/>
              </w:rPr>
              <w:t xml:space="preserve"> </w:t>
            </w:r>
            <w:r w:rsidRPr="000E6E45">
              <w:rPr>
                <w:rFonts w:cstheme="minorHAnsi"/>
              </w:rPr>
              <w:t>hidrogeológico,</w:t>
            </w:r>
            <w:r w:rsidR="005B1D35">
              <w:rPr>
                <w:rFonts w:cstheme="minorHAnsi"/>
              </w:rPr>
              <w:t xml:space="preserve"> </w:t>
            </w:r>
            <w:r w:rsidRPr="000E6E45">
              <w:rPr>
                <w:rFonts w:cstheme="minorHAnsi"/>
              </w:rPr>
              <w:t>tales como piezómetros u otros</w:t>
            </w:r>
            <w:r w:rsidR="005B1D35">
              <w:rPr>
                <w:rFonts w:cstheme="minorHAnsi"/>
              </w:rPr>
              <w:t xml:space="preserve"> </w:t>
            </w:r>
            <w:r w:rsidRPr="000E6E45">
              <w:rPr>
                <w:rFonts w:cstheme="minorHAnsi"/>
              </w:rPr>
              <w:t>dispositivos destinados al control e inspección de aguas</w:t>
            </w:r>
            <w:r w:rsidR="000E6E45" w:rsidRPr="000E6E45">
              <w:rPr>
                <w:rFonts w:cstheme="minorHAnsi"/>
              </w:rPr>
              <w:t xml:space="preserve"> subterráneas o lixiviados, así como la información derivada</w:t>
            </w:r>
          </w:p>
          <w:p w14:paraId="62525B24" w14:textId="1761EF3C" w:rsidR="00070864" w:rsidRPr="000E6E45" w:rsidRDefault="000E6E45" w:rsidP="000E6E45">
            <w:pPr>
              <w:jc w:val="both"/>
              <w:rPr>
                <w:rFonts w:cstheme="minorHAnsi"/>
              </w:rPr>
            </w:pPr>
            <w:r w:rsidRPr="000E6E45">
              <w:rPr>
                <w:rFonts w:cstheme="minorHAnsi"/>
              </w:rPr>
              <w:t>de dichos sistemas, en caso de existir.</w:t>
            </w:r>
          </w:p>
        </w:tc>
        <w:tc>
          <w:tcPr>
            <w:tcW w:w="4247" w:type="dxa"/>
          </w:tcPr>
          <w:p w14:paraId="0727F809" w14:textId="77777777" w:rsidR="00070864" w:rsidRPr="00070864" w:rsidRDefault="00070864" w:rsidP="00070864">
            <w:pPr>
              <w:spacing w:before="100" w:beforeAutospacing="1" w:after="100" w:afterAutospacing="1"/>
              <w:jc w:val="both"/>
              <w:outlineLvl w:val="3"/>
              <w:rPr>
                <w:rFonts w:eastAsia="Times New Roman" w:cstheme="minorHAnsi"/>
                <w:lang w:val="es-419" w:eastAsia="es-419"/>
              </w:rPr>
            </w:pPr>
            <w:r w:rsidRPr="00070864">
              <w:rPr>
                <w:rFonts w:eastAsia="Times New Roman" w:cstheme="minorHAnsi"/>
                <w:lang w:val="es-419" w:eastAsia="es-419"/>
              </w:rPr>
              <w:t>Revisada la información presentada en la entrega final para el componente hidrogeológico, se evidencia que el titular complementó la caracterización de las aguas subterráneas mediante la identificación, localización y análisis de la red de piezómetros instalada en el área del proyecto, incluyendo información asociada a su estado operativo, profundidad, monitoreo histórico e interpretación de los niveles registrados.</w:t>
            </w:r>
          </w:p>
          <w:p w14:paraId="236330D0" w14:textId="77777777" w:rsidR="00070864" w:rsidRPr="00070864" w:rsidRDefault="00070864" w:rsidP="00070864">
            <w:pPr>
              <w:spacing w:before="100" w:beforeAutospacing="1" w:after="100" w:afterAutospacing="1"/>
              <w:jc w:val="both"/>
              <w:outlineLvl w:val="3"/>
              <w:rPr>
                <w:rFonts w:eastAsia="Times New Roman" w:cstheme="minorHAnsi"/>
                <w:lang w:val="es-419" w:eastAsia="es-419"/>
              </w:rPr>
            </w:pPr>
            <w:r w:rsidRPr="00070864">
              <w:rPr>
                <w:rFonts w:eastAsia="Times New Roman" w:cstheme="minorHAnsi"/>
                <w:lang w:val="es-419" w:eastAsia="es-419"/>
              </w:rPr>
              <w:t>Si bien no se reportan pozos profundos, aljibes o manantiales dentro del área de influencia del proyecto, la documentación presentada permite verificar las condiciones hidrogeológicas del sitio a través de la infraestructura de monitoreo existente, la cual constituye la principal herramienta de control y seguimiento de las aguas subterráneas y de la posible migración de lixiviados en este tipo de proyectos.</w:t>
            </w:r>
          </w:p>
          <w:p w14:paraId="2F54503D" w14:textId="77777777" w:rsidR="00070864" w:rsidRPr="00070864" w:rsidRDefault="00070864" w:rsidP="00070864">
            <w:pPr>
              <w:spacing w:before="100" w:beforeAutospacing="1" w:after="100" w:afterAutospacing="1"/>
              <w:jc w:val="both"/>
              <w:outlineLvl w:val="3"/>
              <w:rPr>
                <w:rFonts w:eastAsia="Times New Roman" w:cstheme="minorHAnsi"/>
                <w:lang w:val="es-419" w:eastAsia="es-419"/>
              </w:rPr>
            </w:pPr>
            <w:r w:rsidRPr="00070864">
              <w:rPr>
                <w:rFonts w:eastAsia="Times New Roman" w:cstheme="minorHAnsi"/>
                <w:lang w:val="es-419" w:eastAsia="es-419"/>
              </w:rPr>
              <w:t xml:space="preserve">Adicionalmente, se presentan planos de localización de los puntos de monitoreo y perfiles hidrogeológicos que permiten </w:t>
            </w:r>
            <w:r w:rsidRPr="00070864">
              <w:rPr>
                <w:rFonts w:eastAsia="Times New Roman" w:cstheme="minorHAnsi"/>
                <w:lang w:val="es-419" w:eastAsia="es-419"/>
              </w:rPr>
              <w:lastRenderedPageBreak/>
              <w:t>comprender el comportamiento del subsuelo y soportan el análisis realizado.</w:t>
            </w:r>
          </w:p>
          <w:p w14:paraId="5097023C" w14:textId="77777777" w:rsidR="00070864" w:rsidRPr="00070864" w:rsidRDefault="00070864" w:rsidP="00070864">
            <w:pPr>
              <w:spacing w:before="100" w:beforeAutospacing="1" w:after="100" w:afterAutospacing="1"/>
              <w:jc w:val="both"/>
              <w:outlineLvl w:val="3"/>
              <w:rPr>
                <w:rFonts w:eastAsia="Times New Roman" w:cstheme="minorHAnsi"/>
                <w:lang w:val="es-419" w:eastAsia="es-419"/>
              </w:rPr>
            </w:pPr>
            <w:r w:rsidRPr="00070864">
              <w:rPr>
                <w:rFonts w:eastAsia="Times New Roman" w:cstheme="minorHAnsi"/>
                <w:lang w:val="es-419" w:eastAsia="es-419"/>
              </w:rPr>
              <w:t>Por lo anterior, se considera que el requerimiento relacionado con la identificación y caracterización de los puntos de control hidrogeológico en el área de influencia fue atendido satisfactoriamente, evidenciándose el cumplimiento de lo solicitado para este componente.</w:t>
            </w:r>
          </w:p>
          <w:p w14:paraId="0C7F5736" w14:textId="77777777" w:rsidR="00070864" w:rsidRPr="000E6E45" w:rsidRDefault="00070864" w:rsidP="00070864">
            <w:pPr>
              <w:spacing w:before="100" w:beforeAutospacing="1" w:after="100" w:afterAutospacing="1"/>
              <w:jc w:val="both"/>
              <w:outlineLvl w:val="3"/>
              <w:rPr>
                <w:rFonts w:eastAsia="Times New Roman" w:cstheme="minorHAnsi"/>
                <w:lang w:val="es-419" w:eastAsia="es-419"/>
              </w:rPr>
            </w:pPr>
          </w:p>
        </w:tc>
      </w:tr>
      <w:tr w:rsidR="00070864" w:rsidRPr="000E6E45" w14:paraId="5E1BF6C5" w14:textId="77777777" w:rsidTr="000B1C25">
        <w:tc>
          <w:tcPr>
            <w:tcW w:w="8494" w:type="dxa"/>
            <w:gridSpan w:val="2"/>
          </w:tcPr>
          <w:p w14:paraId="280E51EC" w14:textId="77777777" w:rsidR="00070864" w:rsidRPr="00070864" w:rsidRDefault="00070864" w:rsidP="00070864">
            <w:p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lastRenderedPageBreak/>
              <w:t>Revisada la información presentada en la entrega final del Plan de Gestión del Riesgo para el Manejo del Vertimiento de la PTLX del Sitio de Disposición Final El Carrasco, se evidencia que fueron atendidos de manera satisfactoria los principales requerimientos formulados durante la evaluación inicial relacionados con los componentes de geología, geomorfología, geotecnia y suelos.</w:t>
            </w:r>
          </w:p>
          <w:p w14:paraId="48699537" w14:textId="77777777" w:rsidR="00070864" w:rsidRPr="00070864" w:rsidRDefault="00070864" w:rsidP="00070864">
            <w:p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En particular, se fortaleció la caracterización de las fallas geológicas mediante la incorporación de información sobre su tipología, actividad e influencia respecto al área del proyecto, así como su relación con el análisis de riesgo y el comportamiento hidrogeológico del sitio. De igual manera, se mejoró la articulación entre los procesos de erosión, movimientos en masa y la operación del sistema de gestión del vertimiento, identificando posibles afectaciones sobre drenajes, accesos operativos y sistemas de conducción de lixiviados.</w:t>
            </w:r>
          </w:p>
          <w:p w14:paraId="158E2797" w14:textId="77777777" w:rsidR="00070864" w:rsidRPr="00070864" w:rsidRDefault="00070864" w:rsidP="00070864">
            <w:p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Asimismo, se incorporó una evaluación geotécnica específica para la Planta de Tratamiento de Lixiviados y sus estructuras asociadas, incluyendo exploración geotécnica, análisis de capacidad portante, asentamientos, comportamiento sísmico e implicaciones operacionales, permitiendo una mejor comprensión de las condiciones del terreno y su incidencia sobre la estabilidad y funcionamiento del sistema.</w:t>
            </w:r>
          </w:p>
          <w:p w14:paraId="09917FB6" w14:textId="77777777" w:rsidR="00070864" w:rsidRPr="00070864" w:rsidRDefault="00070864" w:rsidP="00070864">
            <w:p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No obstante, aunque se identifican zonas con diferentes niveles de amenaza geotécnica y se delimitan sectores críticos dentro del área de estudio, la relación espacial detallada entre dichas zonas y cada una de las estructuras operativas de la PTLX podría fortalecerse. Adicionalmente, la interpretación de los resultados asociados a infiltración, permeabilidad y movilidad potencial de contaminantes en el suelo continúa siendo limitada, presentándose principalmente los datos obtenidos sin una discusión técnica suficientemente desarrollada.</w:t>
            </w:r>
          </w:p>
          <w:p w14:paraId="2DDD10E8" w14:textId="2E2D4A48" w:rsidR="00070864" w:rsidRPr="00070864" w:rsidRDefault="00070864" w:rsidP="00070864">
            <w:pPr>
              <w:spacing w:before="100" w:beforeAutospacing="1" w:after="100" w:afterAutospacing="1"/>
              <w:jc w:val="both"/>
              <w:rPr>
                <w:rFonts w:eastAsia="Times New Roman" w:cstheme="minorHAnsi"/>
                <w:lang w:val="es-419" w:eastAsia="es-419"/>
              </w:rPr>
            </w:pPr>
            <w:r w:rsidRPr="00070864">
              <w:rPr>
                <w:rFonts w:eastAsia="Times New Roman" w:cstheme="minorHAnsi"/>
                <w:lang w:val="es-419" w:eastAsia="es-419"/>
              </w:rPr>
              <w:t>Por lo anterior, se considera que los requerimientos formulados para los componentes de geología, geomorfología, geotecnia</w:t>
            </w:r>
            <w:r w:rsidR="00F6719A">
              <w:rPr>
                <w:rFonts w:eastAsia="Times New Roman" w:cstheme="minorHAnsi"/>
                <w:lang w:val="es-419" w:eastAsia="es-419"/>
              </w:rPr>
              <w:t>, hidrogeologia</w:t>
            </w:r>
            <w:r w:rsidRPr="00070864">
              <w:rPr>
                <w:rFonts w:eastAsia="Times New Roman" w:cstheme="minorHAnsi"/>
                <w:lang w:val="es-419" w:eastAsia="es-419"/>
              </w:rPr>
              <w:t xml:space="preserve"> y suelos fueron atendidos en términos generales, evidenciándose un cumplimiento satisfactorio de los aspectos solicitados.</w:t>
            </w:r>
          </w:p>
          <w:p w14:paraId="5277EF16" w14:textId="77777777" w:rsidR="00070864" w:rsidRPr="000E6E45" w:rsidRDefault="00070864" w:rsidP="00070864">
            <w:pPr>
              <w:jc w:val="both"/>
              <w:rPr>
                <w:rFonts w:cstheme="minorHAnsi"/>
              </w:rPr>
            </w:pPr>
          </w:p>
        </w:tc>
      </w:tr>
    </w:tbl>
    <w:p w14:paraId="58C6B602" w14:textId="77777777" w:rsidR="00827403" w:rsidRPr="000E6E45" w:rsidRDefault="00827403" w:rsidP="00070864">
      <w:pPr>
        <w:jc w:val="both"/>
        <w:rPr>
          <w:rFonts w:cstheme="minorHAnsi"/>
        </w:rPr>
      </w:pPr>
    </w:p>
    <w:sectPr w:rsidR="00827403" w:rsidRPr="000E6E4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424FC"/>
    <w:multiLevelType w:val="hybridMultilevel"/>
    <w:tmpl w:val="336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330BB8"/>
    <w:multiLevelType w:val="multilevel"/>
    <w:tmpl w:val="6D048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310A2E"/>
    <w:multiLevelType w:val="multilevel"/>
    <w:tmpl w:val="5B30C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D83B7D"/>
    <w:multiLevelType w:val="multilevel"/>
    <w:tmpl w:val="C3787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131062B"/>
    <w:multiLevelType w:val="multilevel"/>
    <w:tmpl w:val="C2B2B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F913BE"/>
    <w:multiLevelType w:val="multilevel"/>
    <w:tmpl w:val="2C04F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0A2FBF"/>
    <w:multiLevelType w:val="multilevel"/>
    <w:tmpl w:val="BA4A3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4"/>
  </w:num>
  <w:num w:numId="4">
    <w:abstractNumId w:val="5"/>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864"/>
    <w:rsid w:val="00070864"/>
    <w:rsid w:val="000E6E45"/>
    <w:rsid w:val="005B1D35"/>
    <w:rsid w:val="00827403"/>
    <w:rsid w:val="00921946"/>
    <w:rsid w:val="00F6719A"/>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CC925"/>
  <w15:chartTrackingRefBased/>
  <w15:docId w15:val="{8E2F148D-387A-41B6-9D94-8BB3FDE9A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419"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CO"/>
    </w:rPr>
  </w:style>
  <w:style w:type="paragraph" w:styleId="Ttulo4">
    <w:name w:val="heading 4"/>
    <w:basedOn w:val="Normal"/>
    <w:link w:val="Ttulo4Car"/>
    <w:uiPriority w:val="9"/>
    <w:qFormat/>
    <w:rsid w:val="00070864"/>
    <w:pPr>
      <w:spacing w:before="100" w:beforeAutospacing="1" w:after="100" w:afterAutospacing="1" w:line="240" w:lineRule="auto"/>
      <w:outlineLvl w:val="3"/>
    </w:pPr>
    <w:rPr>
      <w:rFonts w:ascii="Times New Roman" w:eastAsia="Times New Roman" w:hAnsi="Times New Roman" w:cs="Times New Roman"/>
      <w:b/>
      <w:bCs/>
      <w:sz w:val="24"/>
      <w:szCs w:val="24"/>
      <w:lang w:val="es-419" w:eastAsia="es-41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0708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uiPriority w:val="9"/>
    <w:rsid w:val="00070864"/>
    <w:rPr>
      <w:rFonts w:ascii="Times New Roman" w:eastAsia="Times New Roman" w:hAnsi="Times New Roman" w:cs="Times New Roman"/>
      <w:b/>
      <w:bCs/>
      <w:sz w:val="24"/>
      <w:szCs w:val="24"/>
      <w:lang w:eastAsia="es-419"/>
    </w:rPr>
  </w:style>
  <w:style w:type="paragraph" w:styleId="NormalWeb">
    <w:name w:val="Normal (Web)"/>
    <w:basedOn w:val="Normal"/>
    <w:uiPriority w:val="99"/>
    <w:semiHidden/>
    <w:unhideWhenUsed/>
    <w:rsid w:val="00070864"/>
    <w:pPr>
      <w:spacing w:before="100" w:beforeAutospacing="1" w:after="100" w:afterAutospacing="1" w:line="240" w:lineRule="auto"/>
    </w:pPr>
    <w:rPr>
      <w:rFonts w:ascii="Times New Roman" w:eastAsia="Times New Roman" w:hAnsi="Times New Roman" w:cs="Times New Roman"/>
      <w:sz w:val="24"/>
      <w:szCs w:val="24"/>
      <w:lang w:val="es-419" w:eastAsia="es-419"/>
    </w:rPr>
  </w:style>
  <w:style w:type="character" w:styleId="Textoennegrita">
    <w:name w:val="Strong"/>
    <w:basedOn w:val="Fuentedeprrafopredeter"/>
    <w:uiPriority w:val="22"/>
    <w:qFormat/>
    <w:rsid w:val="00070864"/>
    <w:rPr>
      <w:b/>
      <w:bCs/>
    </w:rPr>
  </w:style>
  <w:style w:type="paragraph" w:styleId="Prrafodelista">
    <w:name w:val="List Paragraph"/>
    <w:basedOn w:val="Normal"/>
    <w:uiPriority w:val="34"/>
    <w:qFormat/>
    <w:rsid w:val="00070864"/>
    <w:pPr>
      <w:ind w:left="720"/>
      <w:contextualSpacing/>
    </w:pPr>
  </w:style>
  <w:style w:type="paragraph" w:customStyle="1" w:styleId="isselectedend">
    <w:name w:val="isselectedend"/>
    <w:basedOn w:val="Normal"/>
    <w:rsid w:val="00070864"/>
    <w:pPr>
      <w:spacing w:before="100" w:beforeAutospacing="1" w:after="100" w:afterAutospacing="1" w:line="240" w:lineRule="auto"/>
    </w:pPr>
    <w:rPr>
      <w:rFonts w:ascii="Times New Roman" w:eastAsia="Times New Roman" w:hAnsi="Times New Roman" w:cs="Times New Roman"/>
      <w:sz w:val="24"/>
      <w:szCs w:val="24"/>
      <w:lang w:val="es-419" w:eastAsia="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938892">
      <w:bodyDiv w:val="1"/>
      <w:marLeft w:val="0"/>
      <w:marRight w:val="0"/>
      <w:marTop w:val="0"/>
      <w:marBottom w:val="0"/>
      <w:divBdr>
        <w:top w:val="none" w:sz="0" w:space="0" w:color="auto"/>
        <w:left w:val="none" w:sz="0" w:space="0" w:color="auto"/>
        <w:bottom w:val="none" w:sz="0" w:space="0" w:color="auto"/>
        <w:right w:val="none" w:sz="0" w:space="0" w:color="auto"/>
      </w:divBdr>
    </w:div>
    <w:div w:id="603998541">
      <w:bodyDiv w:val="1"/>
      <w:marLeft w:val="0"/>
      <w:marRight w:val="0"/>
      <w:marTop w:val="0"/>
      <w:marBottom w:val="0"/>
      <w:divBdr>
        <w:top w:val="none" w:sz="0" w:space="0" w:color="auto"/>
        <w:left w:val="none" w:sz="0" w:space="0" w:color="auto"/>
        <w:bottom w:val="none" w:sz="0" w:space="0" w:color="auto"/>
        <w:right w:val="none" w:sz="0" w:space="0" w:color="auto"/>
      </w:divBdr>
    </w:div>
    <w:div w:id="732507823">
      <w:bodyDiv w:val="1"/>
      <w:marLeft w:val="0"/>
      <w:marRight w:val="0"/>
      <w:marTop w:val="0"/>
      <w:marBottom w:val="0"/>
      <w:divBdr>
        <w:top w:val="none" w:sz="0" w:space="0" w:color="auto"/>
        <w:left w:val="none" w:sz="0" w:space="0" w:color="auto"/>
        <w:bottom w:val="none" w:sz="0" w:space="0" w:color="auto"/>
        <w:right w:val="none" w:sz="0" w:space="0" w:color="auto"/>
      </w:divBdr>
    </w:div>
    <w:div w:id="764570180">
      <w:bodyDiv w:val="1"/>
      <w:marLeft w:val="0"/>
      <w:marRight w:val="0"/>
      <w:marTop w:val="0"/>
      <w:marBottom w:val="0"/>
      <w:divBdr>
        <w:top w:val="none" w:sz="0" w:space="0" w:color="auto"/>
        <w:left w:val="none" w:sz="0" w:space="0" w:color="auto"/>
        <w:bottom w:val="none" w:sz="0" w:space="0" w:color="auto"/>
        <w:right w:val="none" w:sz="0" w:space="0" w:color="auto"/>
      </w:divBdr>
    </w:div>
    <w:div w:id="879511943">
      <w:bodyDiv w:val="1"/>
      <w:marLeft w:val="0"/>
      <w:marRight w:val="0"/>
      <w:marTop w:val="0"/>
      <w:marBottom w:val="0"/>
      <w:divBdr>
        <w:top w:val="none" w:sz="0" w:space="0" w:color="auto"/>
        <w:left w:val="none" w:sz="0" w:space="0" w:color="auto"/>
        <w:bottom w:val="none" w:sz="0" w:space="0" w:color="auto"/>
        <w:right w:val="none" w:sz="0" w:space="0" w:color="auto"/>
      </w:divBdr>
    </w:div>
    <w:div w:id="1686202598">
      <w:bodyDiv w:val="1"/>
      <w:marLeft w:val="0"/>
      <w:marRight w:val="0"/>
      <w:marTop w:val="0"/>
      <w:marBottom w:val="0"/>
      <w:divBdr>
        <w:top w:val="none" w:sz="0" w:space="0" w:color="auto"/>
        <w:left w:val="none" w:sz="0" w:space="0" w:color="auto"/>
        <w:bottom w:val="none" w:sz="0" w:space="0" w:color="auto"/>
        <w:right w:val="none" w:sz="0" w:space="0" w:color="auto"/>
      </w:divBdr>
    </w:div>
    <w:div w:id="1740865091">
      <w:bodyDiv w:val="1"/>
      <w:marLeft w:val="0"/>
      <w:marRight w:val="0"/>
      <w:marTop w:val="0"/>
      <w:marBottom w:val="0"/>
      <w:divBdr>
        <w:top w:val="none" w:sz="0" w:space="0" w:color="auto"/>
        <w:left w:val="none" w:sz="0" w:space="0" w:color="auto"/>
        <w:bottom w:val="none" w:sz="0" w:space="0" w:color="auto"/>
        <w:right w:val="none" w:sz="0" w:space="0" w:color="auto"/>
      </w:divBdr>
    </w:div>
    <w:div w:id="198981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1400</Words>
  <Characters>7706</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NELITZA JAIMES</dc:creator>
  <cp:keywords/>
  <dc:description/>
  <cp:lastModifiedBy>NELITZA JAIMES</cp:lastModifiedBy>
  <cp:revision>2</cp:revision>
  <dcterms:created xsi:type="dcterms:W3CDTF">2026-06-19T17:02:00Z</dcterms:created>
  <dcterms:modified xsi:type="dcterms:W3CDTF">2026-07-06T17:24:00Z</dcterms:modified>
</cp:coreProperties>
</file>